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5"/>
        <w:gridCol w:w="6238"/>
        <w:gridCol w:w="2114"/>
      </w:tblGrid>
      <w:tr w:rsidR="00015920" w14:paraId="3EA34183" w14:textId="77777777" w:rsidTr="00C318D3">
        <w:trPr>
          <w:tblCellSpacing w:w="15" w:type="dxa"/>
        </w:trPr>
        <w:tc>
          <w:tcPr>
            <w:tcW w:w="1000" w:type="pct"/>
          </w:tcPr>
          <w:p w14:paraId="39157449" w14:textId="77777777" w:rsidR="00832BC3" w:rsidRDefault="003056C3">
            <w:pPr>
              <w:jc w:val="center"/>
            </w:pPr>
            <w:r>
              <w:rPr>
                <w:rFonts w:ascii="Arial" w:hAnsi="Arial"/>
                <w:b/>
                <w:color w:val="0056A5"/>
                <w:sz w:val="17"/>
              </w:rPr>
              <w:t>Vice-Chair</w:t>
            </w:r>
            <w:r>
              <w:br/>
            </w:r>
            <w:r>
              <w:rPr>
                <w:rFonts w:ascii="Arial" w:hAnsi="Arial"/>
                <w:color w:val="0056A5"/>
                <w:sz w:val="14"/>
              </w:rPr>
              <w:t>Valladares, Suzette Martinez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color w:val="0056A5"/>
                <w:sz w:val="17"/>
              </w:rPr>
              <w:t>Members</w:t>
            </w:r>
            <w:r>
              <w:br/>
            </w:r>
            <w:r>
              <w:rPr>
                <w:rFonts w:ascii="Arial" w:hAnsi="Arial"/>
                <w:color w:val="0056A5"/>
                <w:sz w:val="14"/>
              </w:rPr>
              <w:t>Allen, Benjamin</w:t>
            </w:r>
            <w:r>
              <w:br/>
            </w:r>
            <w:r>
              <w:rPr>
                <w:rFonts w:ascii="Arial" w:hAnsi="Arial"/>
                <w:color w:val="0056A5"/>
                <w:sz w:val="14"/>
              </w:rPr>
              <w:t>Dahle, Megan</w:t>
            </w:r>
            <w:r>
              <w:br/>
            </w:r>
            <w:r>
              <w:rPr>
                <w:rFonts w:ascii="Arial" w:hAnsi="Arial"/>
                <w:color w:val="0056A5"/>
                <w:sz w:val="14"/>
              </w:rPr>
              <w:t>Gonzalez, Lena A.</w:t>
            </w:r>
            <w:r>
              <w:br/>
            </w:r>
            <w:r>
              <w:rPr>
                <w:rFonts w:ascii="Arial" w:hAnsi="Arial"/>
                <w:color w:val="0056A5"/>
                <w:sz w:val="14"/>
              </w:rPr>
              <w:t>Hurtado, Melissa</w:t>
            </w:r>
            <w:r>
              <w:br/>
            </w:r>
            <w:r>
              <w:rPr>
                <w:rFonts w:ascii="Arial" w:hAnsi="Arial"/>
                <w:color w:val="0056A5"/>
                <w:sz w:val="14"/>
              </w:rPr>
              <w:t>Menjivar, Caroline</w:t>
            </w:r>
            <w:r>
              <w:br/>
            </w:r>
          </w:p>
        </w:tc>
        <w:tc>
          <w:tcPr>
            <w:tcW w:w="3000" w:type="pct"/>
            <w:hideMark/>
          </w:tcPr>
          <w:p w14:paraId="071AE692" w14:textId="77777777" w:rsidR="00015920" w:rsidRDefault="00015920" w:rsidP="00C318D3">
            <w:pPr>
              <w:jc w:val="center"/>
              <w:textAlignment w:val="top"/>
              <w:rPr>
                <w:rFonts w:eastAsia="Times New Roman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 wp14:anchorId="5ECDCB4D" wp14:editId="17FD30D3">
                  <wp:extent cx="3333750" cy="38100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tterheadSenate_tab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E0C1E8C" w14:textId="77777777" w:rsidR="00832BC3" w:rsidRDefault="003056C3">
            <w:pPr>
              <w:jc w:val="center"/>
              <w:rPr>
                <w:rFonts w:asciiTheme="majorHAnsi" w:eastAsia="Times New Roman" w:hAnsiTheme="majorHAnsi" w:cs="Arial"/>
                <w:b/>
                <w:color w:val="0056A5"/>
                <w:sz w:val="26"/>
                <w:szCs w:val="26"/>
              </w:rPr>
            </w:pPr>
            <w:r>
              <w:rPr>
                <w:rFonts w:asciiTheme="majorHAnsi" w:eastAsia="Times New Roman" w:hAnsiTheme="majorHAnsi" w:cs="Arial"/>
                <w:b/>
                <w:color w:val="0056A5"/>
                <w:sz w:val="26"/>
                <w:szCs w:val="26"/>
              </w:rPr>
              <w:fldChar w:fldCharType="begin"/>
            </w:r>
            <w:r>
              <w:rPr>
                <w:rFonts w:asciiTheme="majorHAnsi" w:eastAsia="Times New Roman" w:hAnsiTheme="majorHAnsi" w:cs="Arial"/>
                <w:b/>
                <w:color w:val="0056A5"/>
                <w:sz w:val="26"/>
                <w:szCs w:val="26"/>
              </w:rPr>
              <w:instrText xml:space="preserve"> MERGEFIELD  committee_name \* Upper  \* MERGEFORMAT </w:instrText>
            </w:r>
            <w:r>
              <w:rPr>
                <w:rFonts w:asciiTheme="majorHAnsi" w:eastAsia="Times New Roman" w:hAnsiTheme="majorHAnsi" w:cs="Arial"/>
                <w:b/>
                <w:color w:val="0056A5"/>
                <w:sz w:val="26"/>
                <w:szCs w:val="26"/>
              </w:rPr>
              <w:fldChar w:fldCharType="separate"/>
            </w:r>
            <w:r>
              <w:rPr>
                <w:rFonts w:asciiTheme="majorHAnsi" w:eastAsia="Times New Roman" w:hAnsiTheme="majorHAnsi" w:cs="Arial"/>
                <w:b/>
                <w:color w:val="0056A5"/>
                <w:sz w:val="26"/>
                <w:szCs w:val="26"/>
              </w:rPr>
              <w:t>ENVIRONMENTAL QUALITY</w:t>
            </w:r>
            <w:r>
              <w:fldChar w:fldCharType="end"/>
            </w:r>
          </w:p>
          <w:p w14:paraId="21FC9A7B" w14:textId="77777777" w:rsidR="00015920" w:rsidRDefault="00015920" w:rsidP="00C318D3">
            <w:pPr>
              <w:jc w:val="center"/>
              <w:rPr>
                <w:rFonts w:ascii="Arial" w:eastAsia="Times New Roman" w:hAnsi="Arial" w:cs="Arial"/>
                <w:color w:val="0056A5"/>
              </w:rPr>
            </w:pPr>
            <w:r>
              <w:rPr>
                <w:rFonts w:ascii="Arial" w:eastAsia="Times New Roman" w:hAnsi="Arial" w:cs="Arial"/>
                <w:noProof/>
                <w:color w:val="0056A5"/>
              </w:rPr>
              <w:drawing>
                <wp:inline distT="0" distB="0" distL="0" distR="0" wp14:anchorId="6746DF0C" wp14:editId="24E7CBBE">
                  <wp:extent cx="942975" cy="838200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enateSeal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975" cy="838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2BF2E4E" w14:textId="77777777" w:rsidR="00832BC3" w:rsidRDefault="003056C3">
            <w:pPr>
              <w:pStyle w:val="Heading2"/>
              <w:spacing w:befor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/>
            </w:r>
            <w:r>
              <w:rPr>
                <w:rFonts w:ascii="Arial" w:hAnsi="Arial" w:cs="Arial"/>
              </w:rPr>
              <w:instrText xml:space="preserve"> MERGEFIELD  chair \* Upper  \* MERGEFORMAT </w:instrText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 xml:space="preserve">CATHERINE S BLAKESPEAR </w:t>
            </w:r>
            <w:r>
              <w:fldChar w:fldCharType="end"/>
            </w:r>
          </w:p>
          <w:p w14:paraId="2B606D6F" w14:textId="77777777" w:rsidR="00832BC3" w:rsidRDefault="003056C3">
            <w:pPr>
              <w:jc w:val="center"/>
              <w:rPr>
                <w:rFonts w:ascii="Arial" w:eastAsia="Times New Roman" w:hAnsi="Arial" w:cs="Arial"/>
                <w:color w:val="0056A5"/>
              </w:rPr>
            </w:pPr>
            <w:r>
              <w:rPr>
                <w:rFonts w:ascii="Arial" w:eastAsia="Times New Roman" w:hAnsi="Arial" w:cs="Arial"/>
                <w:color w:val="0056A5"/>
              </w:rPr>
              <w:fldChar w:fldCharType="begin"/>
            </w:r>
            <w:r>
              <w:rPr>
                <w:rFonts w:ascii="Arial" w:eastAsia="Times New Roman" w:hAnsi="Arial" w:cs="Arial"/>
                <w:color w:val="0056A5"/>
              </w:rPr>
              <w:instrText xml:space="preserve"> MERGEFIELD  CHAIR_LABEL  \* MERGEFORMAT </w:instrText>
            </w:r>
            <w:r>
              <w:rPr>
                <w:rFonts w:ascii="Arial" w:eastAsia="Times New Roman" w:hAnsi="Arial" w:cs="Arial"/>
                <w:color w:val="0056A5"/>
              </w:rPr>
              <w:fldChar w:fldCharType="separate"/>
            </w:r>
            <w:r>
              <w:rPr>
                <w:rFonts w:ascii="Arial" w:eastAsia="Times New Roman" w:hAnsi="Arial" w:cs="Arial"/>
                <w:color w:val="0056A5"/>
              </w:rPr>
              <w:t>CHAIR</w:t>
            </w:r>
            <w:r>
              <w:fldChar w:fldCharType="end"/>
            </w:r>
          </w:p>
          <w:p w14:paraId="2D5301FC" w14:textId="77777777" w:rsidR="00015920" w:rsidRDefault="00015920" w:rsidP="00C318D3">
            <w:pPr>
              <w:jc w:val="center"/>
              <w:rPr>
                <w:rFonts w:ascii="Arial" w:eastAsia="Times New Roman" w:hAnsi="Arial" w:cs="Arial"/>
                <w:color w:val="0056A5"/>
                <w:sz w:val="24"/>
                <w:szCs w:val="24"/>
              </w:rPr>
            </w:pPr>
          </w:p>
        </w:tc>
        <w:tc>
          <w:tcPr>
            <w:tcW w:w="1000" w:type="pct"/>
          </w:tcPr>
          <w:p w14:paraId="647FDF09" w14:textId="77777777" w:rsidR="00832BC3" w:rsidRDefault="003056C3">
            <w:pPr>
              <w:jc w:val="center"/>
            </w:pPr>
            <w:r>
              <w:rPr>
                <w:rFonts w:ascii="Arial" w:hAnsi="Arial"/>
                <w:b/>
                <w:color w:val="0056A5"/>
                <w:sz w:val="17"/>
              </w:rPr>
              <w:t>Staff Director</w:t>
            </w:r>
            <w:r>
              <w:br/>
            </w:r>
            <w:r>
              <w:rPr>
                <w:rFonts w:ascii="Arial" w:hAnsi="Arial"/>
                <w:color w:val="0056A5"/>
                <w:sz w:val="14"/>
              </w:rPr>
              <w:t>Heather Walters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color w:val="0056A5"/>
                <w:sz w:val="17"/>
              </w:rPr>
              <w:t>Principal Consultant</w:t>
            </w:r>
            <w:r>
              <w:br/>
            </w:r>
            <w:r>
              <w:rPr>
                <w:rFonts w:ascii="Arial" w:hAnsi="Arial"/>
                <w:color w:val="0056A5"/>
                <w:sz w:val="14"/>
              </w:rPr>
              <w:t>Brynn Cook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color w:val="0056A5"/>
                <w:sz w:val="17"/>
              </w:rPr>
              <w:t>Consultant</w:t>
            </w:r>
            <w:r>
              <w:br/>
            </w:r>
            <w:r>
              <w:rPr>
                <w:rFonts w:ascii="Arial" w:hAnsi="Arial"/>
                <w:color w:val="0056A5"/>
                <w:sz w:val="14"/>
              </w:rPr>
              <w:t>Taylor McKie</w:t>
            </w:r>
            <w:r>
              <w:br/>
            </w:r>
            <w:r>
              <w:rPr>
                <w:rFonts w:ascii="Arial" w:hAnsi="Arial"/>
                <w:color w:val="0056A5"/>
                <w:sz w:val="14"/>
              </w:rPr>
              <w:t>Alyssa Poletti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color w:val="0056A5"/>
                <w:sz w:val="17"/>
              </w:rPr>
              <w:t>Committee Assistant</w:t>
            </w:r>
            <w:r>
              <w:br/>
            </w:r>
            <w:r>
              <w:rPr>
                <w:rFonts w:ascii="Arial" w:hAnsi="Arial"/>
                <w:color w:val="0056A5"/>
                <w:sz w:val="14"/>
              </w:rPr>
              <w:t xml:space="preserve">Anna </w:t>
            </w:r>
            <w:r>
              <w:rPr>
                <w:rFonts w:ascii="Arial" w:hAnsi="Arial"/>
                <w:color w:val="0056A5"/>
                <w:sz w:val="14"/>
              </w:rPr>
              <w:t>Larson</w:t>
            </w:r>
            <w:r>
              <w:br/>
            </w:r>
          </w:p>
          <w:p w14:paraId="189C48D8" w14:textId="77777777" w:rsidR="00832BC3" w:rsidRDefault="003056C3">
            <w:pPr>
              <w:jc w:val="center"/>
            </w:pPr>
            <w:r>
              <w:rPr>
                <w:rFonts w:ascii="Arial" w:hAnsi="Arial"/>
                <w:b/>
                <w:color w:val="0056A5"/>
                <w:sz w:val="15"/>
              </w:rPr>
              <w:t>1021 O Street, Room 3230</w:t>
            </w:r>
            <w:r>
              <w:br/>
            </w:r>
            <w:r>
              <w:rPr>
                <w:rFonts w:ascii="Arial" w:hAnsi="Arial"/>
                <w:b/>
                <w:color w:val="0056A5"/>
                <w:sz w:val="15"/>
              </w:rPr>
              <w:t>(916) 651-4108</w:t>
            </w:r>
            <w:r>
              <w:br/>
            </w:r>
          </w:p>
        </w:tc>
      </w:tr>
      <w:tr w:rsidR="00015920" w14:paraId="749BF39C" w14:textId="77777777" w:rsidTr="00C318D3">
        <w:trPr>
          <w:tblCellSpacing w:w="15" w:type="dxa"/>
        </w:trPr>
        <w:tc>
          <w:tcPr>
            <w:tcW w:w="0" w:type="auto"/>
            <w:gridSpan w:val="3"/>
          </w:tcPr>
          <w:p w14:paraId="18151D87" w14:textId="77777777" w:rsidR="00015920" w:rsidRDefault="00015920" w:rsidP="00C318D3">
            <w:pPr>
              <w:jc w:val="center"/>
              <w:rPr>
                <w:rFonts w:ascii="Arial" w:eastAsia="Times New Roman" w:hAnsi="Arial" w:cs="Arial"/>
                <w:b/>
                <w:color w:val="0056A5"/>
                <w:sz w:val="26"/>
                <w:szCs w:val="26"/>
              </w:rPr>
            </w:pPr>
            <w:r w:rsidRPr="00351592">
              <w:rPr>
                <w:rFonts w:ascii="Arial" w:eastAsia="Times New Roman" w:hAnsi="Arial" w:cs="Arial"/>
                <w:b/>
                <w:color w:val="0056A5"/>
                <w:sz w:val="26"/>
                <w:szCs w:val="26"/>
              </w:rPr>
              <w:t>AGENDA</w:t>
            </w:r>
          </w:p>
          <w:p w14:paraId="7D1A7CD6" w14:textId="77777777" w:rsidR="00832BC3" w:rsidRDefault="003056C3">
            <w:pPr>
              <w:jc w:val="center"/>
            </w:pPr>
            <w:r>
              <w:rPr>
                <w:rFonts w:ascii="Arial" w:hAnsi="Arial"/>
                <w:color w:val="0056A5"/>
                <w:sz w:val="17"/>
              </w:rPr>
              <w:t xml:space="preserve">Wednesday, June 3, 2026 </w:t>
            </w:r>
            <w:r>
              <w:br/>
            </w:r>
            <w:r>
              <w:rPr>
                <w:rFonts w:ascii="Arial" w:hAnsi="Arial"/>
                <w:color w:val="0056A5"/>
                <w:sz w:val="17"/>
              </w:rPr>
              <w:t>9 a.m. -- 1021 O Street, Room 2200</w:t>
            </w:r>
          </w:p>
          <w:p w14:paraId="7C3411CE" w14:textId="77777777" w:rsidR="00832BC3" w:rsidRDefault="00832BC3">
            <w:pPr>
              <w:jc w:val="center"/>
            </w:pPr>
          </w:p>
        </w:tc>
      </w:tr>
    </w:tbl>
    <w:p w14:paraId="1DDD978B" w14:textId="77777777" w:rsidR="00015920" w:rsidRPr="00432AAD" w:rsidRDefault="00015920" w:rsidP="00015920"/>
    <w:p w14:paraId="590B6A50" w14:textId="77777777" w:rsidR="00832BC3" w:rsidRDefault="00832BC3">
      <w:pPr>
        <w:jc w:val="center"/>
      </w:pPr>
    </w:p>
    <w:tbl>
      <w:tblPr>
        <w:tblW w:w="0" w:type="auto"/>
        <w:tblCellSpacing w:w="20" w:type="dxa"/>
        <w:tblLook w:val="04A0" w:firstRow="1" w:lastRow="0" w:firstColumn="1" w:lastColumn="0" w:noHBand="0" w:noVBand="1"/>
      </w:tblPr>
      <w:tblGrid>
        <w:gridCol w:w="10467"/>
      </w:tblGrid>
      <w:tr w:rsidR="00832BC3" w14:paraId="1392A0AA" w14:textId="77777777">
        <w:trPr>
          <w:cantSplit/>
          <w:tblCellSpacing w:w="20" w:type="dxa"/>
        </w:trPr>
        <w:tc>
          <w:tcPr>
            <w:tcW w:w="14360" w:type="dxa"/>
          </w:tcPr>
          <w:p w14:paraId="25FA6F75" w14:textId="77777777" w:rsidR="00832BC3" w:rsidRDefault="003056C3">
            <w:pPr>
              <w:jc w:val="center"/>
            </w:pPr>
            <w:r>
              <w:rPr>
                <w:rFonts w:ascii="Arial" w:hAnsi="Arial"/>
                <w:b/>
                <w:color w:val="000000"/>
                <w:sz w:val="27"/>
                <w:u w:val="single"/>
              </w:rPr>
              <w:t>MEASURES HEARD IN FILE ORDER</w:t>
            </w:r>
          </w:p>
        </w:tc>
      </w:tr>
    </w:tbl>
    <w:p w14:paraId="7B2A6655" w14:textId="77777777" w:rsidR="00832BC3" w:rsidRDefault="00832BC3"/>
    <w:tbl>
      <w:tblPr>
        <w:tblW w:w="0" w:type="auto"/>
        <w:tblCellSpacing w:w="20" w:type="dxa"/>
        <w:tblLook w:val="04A0" w:firstRow="1" w:lastRow="0" w:firstColumn="1" w:lastColumn="0" w:noHBand="0" w:noVBand="1"/>
      </w:tblPr>
      <w:tblGrid>
        <w:gridCol w:w="693"/>
        <w:gridCol w:w="1243"/>
        <w:gridCol w:w="2316"/>
        <w:gridCol w:w="6215"/>
      </w:tblGrid>
      <w:tr w:rsidR="00832BC3" w14:paraId="70236369" w14:textId="77777777">
        <w:trPr>
          <w:cantSplit/>
          <w:tblCellSpacing w:w="20" w:type="dxa"/>
        </w:trPr>
        <w:tc>
          <w:tcPr>
            <w:tcW w:w="787" w:type="dxa"/>
          </w:tcPr>
          <w:p w14:paraId="24A4BD26" w14:textId="77777777" w:rsidR="00832BC3" w:rsidRDefault="003056C3">
            <w:r>
              <w:rPr>
                <w:rFonts w:ascii="Arial" w:hAnsi="Arial"/>
                <w:color w:val="000000"/>
              </w:rPr>
              <w:t>1.</w:t>
            </w:r>
          </w:p>
        </w:tc>
        <w:tc>
          <w:tcPr>
            <w:tcW w:w="1534" w:type="dxa"/>
          </w:tcPr>
          <w:p w14:paraId="5EF90E6E" w14:textId="77777777" w:rsidR="00832BC3" w:rsidRDefault="003056C3">
            <w:r>
              <w:rPr>
                <w:rFonts w:ascii="Arial" w:hAnsi="Arial"/>
                <w:color w:val="000000"/>
              </w:rPr>
              <w:t>AB 643</w:t>
            </w:r>
          </w:p>
        </w:tc>
        <w:tc>
          <w:tcPr>
            <w:tcW w:w="3029" w:type="dxa"/>
          </w:tcPr>
          <w:p w14:paraId="13AB7193" w14:textId="77777777" w:rsidR="00832BC3" w:rsidRDefault="003056C3">
            <w:r>
              <w:rPr>
                <w:rFonts w:ascii="Arial" w:hAnsi="Arial"/>
                <w:color w:val="000000"/>
              </w:rPr>
              <w:t>Wilson</w:t>
            </w:r>
          </w:p>
        </w:tc>
        <w:tc>
          <w:tcPr>
            <w:tcW w:w="9010" w:type="dxa"/>
          </w:tcPr>
          <w:p w14:paraId="3330BF30" w14:textId="77777777" w:rsidR="00832BC3" w:rsidRDefault="003056C3">
            <w:r>
              <w:rPr>
                <w:rFonts w:ascii="Arial" w:hAnsi="Arial"/>
                <w:color w:val="000000"/>
              </w:rPr>
              <w:t>Climate change: short-lived climate pollutants: organic waste reduction.</w:t>
            </w:r>
          </w:p>
        </w:tc>
      </w:tr>
      <w:tr w:rsidR="00832BC3" w14:paraId="2FC79B81" w14:textId="77777777">
        <w:trPr>
          <w:cantSplit/>
          <w:tblCellSpacing w:w="20" w:type="dxa"/>
        </w:trPr>
        <w:tc>
          <w:tcPr>
            <w:tcW w:w="787" w:type="dxa"/>
          </w:tcPr>
          <w:p w14:paraId="18A99E38" w14:textId="77777777" w:rsidR="00832BC3" w:rsidRDefault="003056C3">
            <w:r>
              <w:rPr>
                <w:rFonts w:ascii="Arial" w:hAnsi="Arial"/>
                <w:color w:val="000000"/>
              </w:rPr>
              <w:t>2.</w:t>
            </w:r>
          </w:p>
        </w:tc>
        <w:tc>
          <w:tcPr>
            <w:tcW w:w="1534" w:type="dxa"/>
          </w:tcPr>
          <w:p w14:paraId="3E27938D" w14:textId="77777777" w:rsidR="00832BC3" w:rsidRDefault="003056C3">
            <w:r>
              <w:rPr>
                <w:rFonts w:ascii="Arial" w:hAnsi="Arial"/>
                <w:color w:val="000000"/>
              </w:rPr>
              <w:t>AB 839</w:t>
            </w:r>
          </w:p>
        </w:tc>
        <w:tc>
          <w:tcPr>
            <w:tcW w:w="3029" w:type="dxa"/>
          </w:tcPr>
          <w:p w14:paraId="0F544D76" w14:textId="77777777" w:rsidR="00832BC3" w:rsidRDefault="003056C3">
            <w:r>
              <w:rPr>
                <w:rFonts w:ascii="Arial" w:hAnsi="Arial"/>
                <w:color w:val="000000"/>
              </w:rPr>
              <w:t>Blanca Rubio</w:t>
            </w:r>
          </w:p>
        </w:tc>
        <w:tc>
          <w:tcPr>
            <w:tcW w:w="9010" w:type="dxa"/>
          </w:tcPr>
          <w:p w14:paraId="302C550D" w14:textId="77777777" w:rsidR="00832BC3" w:rsidRDefault="003056C3">
            <w:r>
              <w:rPr>
                <w:rFonts w:ascii="Arial" w:hAnsi="Arial"/>
                <w:color w:val="000000"/>
              </w:rPr>
              <w:t>California Environmental Quality Act: expedited judicial review: sustainable aviation fuel projects.</w:t>
            </w:r>
          </w:p>
        </w:tc>
      </w:tr>
      <w:tr w:rsidR="00832BC3" w14:paraId="1C486704" w14:textId="77777777">
        <w:trPr>
          <w:cantSplit/>
          <w:tblCellSpacing w:w="20" w:type="dxa"/>
        </w:trPr>
        <w:tc>
          <w:tcPr>
            <w:tcW w:w="787" w:type="dxa"/>
          </w:tcPr>
          <w:p w14:paraId="17A57E28" w14:textId="77777777" w:rsidR="00832BC3" w:rsidRDefault="003056C3">
            <w:r>
              <w:rPr>
                <w:rFonts w:ascii="Arial" w:hAnsi="Arial"/>
                <w:color w:val="000000"/>
              </w:rPr>
              <w:t>3.</w:t>
            </w:r>
          </w:p>
        </w:tc>
        <w:tc>
          <w:tcPr>
            <w:tcW w:w="1534" w:type="dxa"/>
          </w:tcPr>
          <w:p w14:paraId="42E57349" w14:textId="77777777" w:rsidR="00832BC3" w:rsidRDefault="003056C3">
            <w:r>
              <w:rPr>
                <w:rFonts w:ascii="Arial" w:hAnsi="Arial"/>
                <w:color w:val="000000"/>
              </w:rPr>
              <w:t>AB 907</w:t>
            </w:r>
          </w:p>
        </w:tc>
        <w:tc>
          <w:tcPr>
            <w:tcW w:w="3029" w:type="dxa"/>
          </w:tcPr>
          <w:p w14:paraId="77849E8B" w14:textId="77777777" w:rsidR="00832BC3" w:rsidRDefault="003056C3">
            <w:r>
              <w:rPr>
                <w:rFonts w:ascii="Arial" w:hAnsi="Arial"/>
                <w:color w:val="000000"/>
              </w:rPr>
              <w:t>Solache</w:t>
            </w:r>
          </w:p>
        </w:tc>
        <w:tc>
          <w:tcPr>
            <w:tcW w:w="9010" w:type="dxa"/>
          </w:tcPr>
          <w:p w14:paraId="35C33155" w14:textId="77777777" w:rsidR="00832BC3" w:rsidRDefault="003056C3">
            <w:r>
              <w:rPr>
                <w:rFonts w:ascii="Arial" w:hAnsi="Arial"/>
                <w:color w:val="000000"/>
              </w:rPr>
              <w:t>State Air Resources Board: board members: compensation.</w:t>
            </w:r>
          </w:p>
        </w:tc>
      </w:tr>
      <w:tr w:rsidR="00832BC3" w14:paraId="263EE63C" w14:textId="77777777">
        <w:trPr>
          <w:cantSplit/>
          <w:tblCellSpacing w:w="20" w:type="dxa"/>
        </w:trPr>
        <w:tc>
          <w:tcPr>
            <w:tcW w:w="787" w:type="dxa"/>
          </w:tcPr>
          <w:p w14:paraId="20A4D5D4" w14:textId="77777777" w:rsidR="00832BC3" w:rsidRDefault="003056C3">
            <w:r>
              <w:rPr>
                <w:rFonts w:ascii="Arial" w:hAnsi="Arial"/>
                <w:color w:val="000000"/>
              </w:rPr>
              <w:t>4.</w:t>
            </w:r>
          </w:p>
        </w:tc>
        <w:tc>
          <w:tcPr>
            <w:tcW w:w="1534" w:type="dxa"/>
          </w:tcPr>
          <w:p w14:paraId="6EABE387" w14:textId="77777777" w:rsidR="00832BC3" w:rsidRDefault="003056C3">
            <w:r>
              <w:rPr>
                <w:rFonts w:ascii="Arial" w:hAnsi="Arial"/>
                <w:color w:val="000000"/>
              </w:rPr>
              <w:t>AB 1148</w:t>
            </w:r>
          </w:p>
        </w:tc>
        <w:tc>
          <w:tcPr>
            <w:tcW w:w="3029" w:type="dxa"/>
          </w:tcPr>
          <w:p w14:paraId="5344B71D" w14:textId="77777777" w:rsidR="00832BC3" w:rsidRDefault="003056C3">
            <w:r>
              <w:rPr>
                <w:rFonts w:ascii="Arial" w:hAnsi="Arial"/>
                <w:color w:val="000000"/>
              </w:rPr>
              <w:t>Sharp-Collins</w:t>
            </w:r>
          </w:p>
        </w:tc>
        <w:tc>
          <w:tcPr>
            <w:tcW w:w="9010" w:type="dxa"/>
          </w:tcPr>
          <w:p w14:paraId="0E31C428" w14:textId="77777777" w:rsidR="00832BC3" w:rsidRDefault="003056C3">
            <w:r>
              <w:rPr>
                <w:rFonts w:ascii="Arial" w:hAnsi="Arial"/>
                <w:color w:val="000000"/>
              </w:rPr>
              <w:t>Food packaging: hazardous chemicals.</w:t>
            </w:r>
          </w:p>
        </w:tc>
      </w:tr>
      <w:tr w:rsidR="00832BC3" w14:paraId="270F25BA" w14:textId="77777777">
        <w:trPr>
          <w:cantSplit/>
          <w:tblCellSpacing w:w="20" w:type="dxa"/>
        </w:trPr>
        <w:tc>
          <w:tcPr>
            <w:tcW w:w="787" w:type="dxa"/>
          </w:tcPr>
          <w:p w14:paraId="56134C02" w14:textId="77777777" w:rsidR="00832BC3" w:rsidRDefault="003056C3">
            <w:r>
              <w:rPr>
                <w:rFonts w:ascii="Arial" w:hAnsi="Arial"/>
                <w:color w:val="000000"/>
              </w:rPr>
              <w:t>5.</w:t>
            </w:r>
          </w:p>
        </w:tc>
        <w:tc>
          <w:tcPr>
            <w:tcW w:w="1534" w:type="dxa"/>
          </w:tcPr>
          <w:p w14:paraId="3D57DC1E" w14:textId="77777777" w:rsidR="00832BC3" w:rsidRDefault="003056C3">
            <w:r>
              <w:rPr>
                <w:rFonts w:ascii="Arial" w:hAnsi="Arial"/>
                <w:color w:val="000000"/>
              </w:rPr>
              <w:t>AB 1149</w:t>
            </w:r>
          </w:p>
        </w:tc>
        <w:tc>
          <w:tcPr>
            <w:tcW w:w="3029" w:type="dxa"/>
          </w:tcPr>
          <w:p w14:paraId="6EA43A3F" w14:textId="77777777" w:rsidR="00832BC3" w:rsidRDefault="003056C3">
            <w:r>
              <w:rPr>
                <w:rFonts w:ascii="Arial" w:hAnsi="Arial"/>
                <w:color w:val="000000"/>
              </w:rPr>
              <w:t>Jackson</w:t>
            </w:r>
          </w:p>
        </w:tc>
        <w:tc>
          <w:tcPr>
            <w:tcW w:w="9010" w:type="dxa"/>
          </w:tcPr>
          <w:p w14:paraId="2D5B6A70" w14:textId="77777777" w:rsidR="00832BC3" w:rsidRDefault="003056C3">
            <w:r>
              <w:rPr>
                <w:rFonts w:ascii="Arial" w:hAnsi="Arial"/>
                <w:color w:val="000000"/>
              </w:rPr>
              <w:t>Recycling: market development payments: polyethylene terephthalate plastic.(Urgency)</w:t>
            </w:r>
          </w:p>
        </w:tc>
      </w:tr>
      <w:tr w:rsidR="00832BC3" w14:paraId="465A187D" w14:textId="77777777">
        <w:trPr>
          <w:cantSplit/>
          <w:tblCellSpacing w:w="20" w:type="dxa"/>
        </w:trPr>
        <w:tc>
          <w:tcPr>
            <w:tcW w:w="787" w:type="dxa"/>
          </w:tcPr>
          <w:p w14:paraId="0B271EA6" w14:textId="77777777" w:rsidR="00832BC3" w:rsidRDefault="003056C3">
            <w:r>
              <w:rPr>
                <w:rFonts w:ascii="Arial" w:hAnsi="Arial"/>
                <w:color w:val="000000"/>
              </w:rPr>
              <w:t>6.</w:t>
            </w:r>
          </w:p>
        </w:tc>
        <w:tc>
          <w:tcPr>
            <w:tcW w:w="1534" w:type="dxa"/>
          </w:tcPr>
          <w:p w14:paraId="76CF841E" w14:textId="77777777" w:rsidR="00832BC3" w:rsidRDefault="003056C3">
            <w:r>
              <w:rPr>
                <w:rFonts w:ascii="Arial" w:hAnsi="Arial"/>
                <w:color w:val="000000"/>
              </w:rPr>
              <w:t>AB 1153</w:t>
            </w:r>
          </w:p>
        </w:tc>
        <w:tc>
          <w:tcPr>
            <w:tcW w:w="3029" w:type="dxa"/>
          </w:tcPr>
          <w:p w14:paraId="120C6D7C" w14:textId="77777777" w:rsidR="00832BC3" w:rsidRDefault="003056C3">
            <w:r>
              <w:rPr>
                <w:rFonts w:ascii="Arial" w:hAnsi="Arial"/>
                <w:color w:val="000000"/>
              </w:rPr>
              <w:t>Bonta</w:t>
            </w:r>
          </w:p>
        </w:tc>
        <w:tc>
          <w:tcPr>
            <w:tcW w:w="9010" w:type="dxa"/>
          </w:tcPr>
          <w:p w14:paraId="01D0E7D2" w14:textId="77777777" w:rsidR="00832BC3" w:rsidRDefault="003056C3">
            <w:r>
              <w:rPr>
                <w:rFonts w:ascii="Arial" w:hAnsi="Arial"/>
                <w:color w:val="000000"/>
              </w:rPr>
              <w:t>Illegal disposal site abatement.</w:t>
            </w:r>
          </w:p>
        </w:tc>
      </w:tr>
      <w:tr w:rsidR="00832BC3" w14:paraId="5A67298E" w14:textId="77777777">
        <w:trPr>
          <w:cantSplit/>
          <w:tblCellSpacing w:w="20" w:type="dxa"/>
        </w:trPr>
        <w:tc>
          <w:tcPr>
            <w:tcW w:w="787" w:type="dxa"/>
          </w:tcPr>
          <w:p w14:paraId="096A4BE8" w14:textId="77777777" w:rsidR="00832BC3" w:rsidRDefault="003056C3">
            <w:r>
              <w:rPr>
                <w:rFonts w:ascii="Arial" w:hAnsi="Arial"/>
                <w:color w:val="000000"/>
              </w:rPr>
              <w:t>7.</w:t>
            </w:r>
          </w:p>
        </w:tc>
        <w:tc>
          <w:tcPr>
            <w:tcW w:w="1534" w:type="dxa"/>
          </w:tcPr>
          <w:p w14:paraId="4DEEBB41" w14:textId="77777777" w:rsidR="00832BC3" w:rsidRDefault="003056C3">
            <w:r>
              <w:rPr>
                <w:rFonts w:ascii="Arial" w:hAnsi="Arial"/>
                <w:color w:val="000000"/>
              </w:rPr>
              <w:t>AB 1617</w:t>
            </w:r>
          </w:p>
        </w:tc>
        <w:tc>
          <w:tcPr>
            <w:tcW w:w="3029" w:type="dxa"/>
          </w:tcPr>
          <w:p w14:paraId="5A927A63" w14:textId="77777777" w:rsidR="00832BC3" w:rsidRDefault="003056C3">
            <w:r>
              <w:rPr>
                <w:rFonts w:ascii="Arial" w:hAnsi="Arial"/>
                <w:color w:val="000000"/>
              </w:rPr>
              <w:t>Alanis</w:t>
            </w:r>
          </w:p>
        </w:tc>
        <w:tc>
          <w:tcPr>
            <w:tcW w:w="9010" w:type="dxa"/>
          </w:tcPr>
          <w:p w14:paraId="406E16A2" w14:textId="77777777" w:rsidR="00832BC3" w:rsidRDefault="003056C3">
            <w:r>
              <w:rPr>
                <w:rFonts w:ascii="Arial" w:hAnsi="Arial"/>
                <w:color w:val="000000"/>
              </w:rPr>
              <w:t xml:space="preserve">Household hazardous waste: reporting. </w:t>
            </w:r>
          </w:p>
        </w:tc>
      </w:tr>
      <w:tr w:rsidR="00832BC3" w14:paraId="1897404E" w14:textId="77777777">
        <w:trPr>
          <w:cantSplit/>
          <w:tblCellSpacing w:w="20" w:type="dxa"/>
        </w:trPr>
        <w:tc>
          <w:tcPr>
            <w:tcW w:w="787" w:type="dxa"/>
          </w:tcPr>
          <w:p w14:paraId="42B20B38" w14:textId="77777777" w:rsidR="00832BC3" w:rsidRDefault="003056C3">
            <w:r>
              <w:rPr>
                <w:rFonts w:ascii="Arial" w:hAnsi="Arial"/>
                <w:color w:val="000000"/>
              </w:rPr>
              <w:t>8.</w:t>
            </w:r>
          </w:p>
        </w:tc>
        <w:tc>
          <w:tcPr>
            <w:tcW w:w="1534" w:type="dxa"/>
          </w:tcPr>
          <w:p w14:paraId="43654CFE" w14:textId="77777777" w:rsidR="00832BC3" w:rsidRDefault="003056C3">
            <w:r>
              <w:rPr>
                <w:rFonts w:ascii="Arial" w:hAnsi="Arial"/>
                <w:color w:val="000000"/>
              </w:rPr>
              <w:t>AB 1704</w:t>
            </w:r>
          </w:p>
        </w:tc>
        <w:tc>
          <w:tcPr>
            <w:tcW w:w="3029" w:type="dxa"/>
          </w:tcPr>
          <w:p w14:paraId="20478A76" w14:textId="77777777" w:rsidR="00832BC3" w:rsidRDefault="003056C3">
            <w:r>
              <w:rPr>
                <w:rFonts w:ascii="Arial" w:hAnsi="Arial"/>
                <w:color w:val="000000"/>
              </w:rPr>
              <w:t>Mark González</w:t>
            </w:r>
          </w:p>
        </w:tc>
        <w:tc>
          <w:tcPr>
            <w:tcW w:w="9010" w:type="dxa"/>
          </w:tcPr>
          <w:p w14:paraId="739790B4" w14:textId="77777777" w:rsidR="00832BC3" w:rsidRDefault="003056C3">
            <w:r>
              <w:rPr>
                <w:rFonts w:ascii="Arial" w:hAnsi="Arial"/>
                <w:color w:val="000000"/>
              </w:rPr>
              <w:t xml:space="preserve">Greenhouse </w:t>
            </w:r>
            <w:r>
              <w:rPr>
                <w:rFonts w:ascii="Arial" w:hAnsi="Arial"/>
                <w:color w:val="000000"/>
              </w:rPr>
              <w:t>gases: embodied carbon building materials.</w:t>
            </w:r>
          </w:p>
        </w:tc>
      </w:tr>
      <w:tr w:rsidR="00832BC3" w14:paraId="2A6BF97A" w14:textId="77777777">
        <w:trPr>
          <w:cantSplit/>
          <w:tblCellSpacing w:w="20" w:type="dxa"/>
        </w:trPr>
        <w:tc>
          <w:tcPr>
            <w:tcW w:w="787" w:type="dxa"/>
          </w:tcPr>
          <w:p w14:paraId="7D8AAE00" w14:textId="77777777" w:rsidR="00832BC3" w:rsidRDefault="003056C3">
            <w:r>
              <w:rPr>
                <w:rFonts w:ascii="Arial" w:hAnsi="Arial"/>
                <w:color w:val="000000"/>
              </w:rPr>
              <w:t>9.</w:t>
            </w:r>
          </w:p>
        </w:tc>
        <w:tc>
          <w:tcPr>
            <w:tcW w:w="1534" w:type="dxa"/>
          </w:tcPr>
          <w:p w14:paraId="4C4222A5" w14:textId="77777777" w:rsidR="00832BC3" w:rsidRDefault="003056C3">
            <w:r>
              <w:rPr>
                <w:rFonts w:ascii="Arial" w:hAnsi="Arial"/>
                <w:color w:val="000000"/>
              </w:rPr>
              <w:t>AB 2559</w:t>
            </w:r>
          </w:p>
        </w:tc>
        <w:tc>
          <w:tcPr>
            <w:tcW w:w="3029" w:type="dxa"/>
          </w:tcPr>
          <w:p w14:paraId="2037FC78" w14:textId="77777777" w:rsidR="00832BC3" w:rsidRDefault="003056C3">
            <w:r>
              <w:rPr>
                <w:rFonts w:ascii="Arial" w:hAnsi="Arial"/>
                <w:color w:val="000000"/>
              </w:rPr>
              <w:t>Ward</w:t>
            </w:r>
          </w:p>
        </w:tc>
        <w:tc>
          <w:tcPr>
            <w:tcW w:w="9010" w:type="dxa"/>
          </w:tcPr>
          <w:p w14:paraId="1EDD49FC" w14:textId="77777777" w:rsidR="00832BC3" w:rsidRDefault="003056C3">
            <w:r>
              <w:rPr>
                <w:rFonts w:ascii="Arial" w:hAnsi="Arial"/>
                <w:color w:val="000000"/>
              </w:rPr>
              <w:t>Solid waste: construction debris: diversion: deposits.</w:t>
            </w:r>
          </w:p>
        </w:tc>
      </w:tr>
    </w:tbl>
    <w:p w14:paraId="0B4E8841" w14:textId="77777777" w:rsidR="00E768B7" w:rsidRDefault="00E768B7"/>
    <w:sectPr w:rsidR="00E768B7">
      <w:footerReference w:type="default" r:id="rId8"/>
      <w:pgSz w:w="11907" w:h="16839" w:code="9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61A5EA" w14:textId="77777777" w:rsidR="003056C3" w:rsidRDefault="003056C3">
      <w:r>
        <w:separator/>
      </w:r>
    </w:p>
  </w:endnote>
  <w:endnote w:type="continuationSeparator" w:id="0">
    <w:p w14:paraId="7896F5FF" w14:textId="77777777" w:rsidR="003056C3" w:rsidRDefault="003056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292F4" w14:textId="77777777" w:rsidR="00832BC3" w:rsidRDefault="00832BC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7CBC84" w14:textId="77777777" w:rsidR="003056C3" w:rsidRDefault="003056C3">
      <w:r>
        <w:separator/>
      </w:r>
    </w:p>
  </w:footnote>
  <w:footnote w:type="continuationSeparator" w:id="0">
    <w:p w14:paraId="6E128B2E" w14:textId="77777777" w:rsidR="003056C3" w:rsidRDefault="003056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30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920"/>
    <w:rsid w:val="00015920"/>
    <w:rsid w:val="003056C3"/>
    <w:rsid w:val="00526BEE"/>
    <w:rsid w:val="00832BC3"/>
    <w:rsid w:val="00C51048"/>
    <w:rsid w:val="00E76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C38DC9"/>
  <w15:docId w15:val="{F1CCBCD6-CB65-4F86-A3A4-2F6447259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5920"/>
    <w:rPr>
      <w:rFonts w:eastAsiaTheme="minorEastAsi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592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1592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59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5920"/>
    <w:rPr>
      <w:rFonts w:ascii="Tahoma" w:eastAsiaTheme="minorEastAsia" w:hAnsi="Tahoma" w:cs="Tahoma"/>
      <w:sz w:val="16"/>
      <w:szCs w:val="16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Legislative Data Center</Company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Dakhane, Wrushasen</dc:creator>
  <cp:lastModifiedBy>Larson, Anna</cp:lastModifiedBy>
  <cp:revision>2</cp:revision>
  <cp:lastPrinted>2026-05-26T18:06:00Z</cp:lastPrinted>
  <dcterms:created xsi:type="dcterms:W3CDTF">2026-05-26T18:06:00Z</dcterms:created>
  <dcterms:modified xsi:type="dcterms:W3CDTF">2026-05-26T18:06:00Z</dcterms:modified>
</cp:coreProperties>
</file>